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Lorena Cruz Enríquez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lorenacruzenriquez@gmail.com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eastAsia="es-MX"/>
              </w:rPr>
              <w:t>9512782216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7 octubre, 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 xml:space="preserve"> - - - - - - - - - - - - - - - - - -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La enseñanza virtual de la Lectura, Expresión Oral y Escrita.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2 de febrero,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5 de febrero,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CECyTEO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Lengua y Comunicación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7 de agosto,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11 de agosto,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CECyTEO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Lengua y Comunicación para el servicio de Bachillerato Tecnológico.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29 de enero,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2 de febrero,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eastAsia="es-MX"/>
              </w:rPr>
              <w:t>CECyTEO</w:t>
            </w:r>
          </w:p>
        </w:tc>
      </w:tr>
    </w:tbl>
    <w:p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2A136A12"/>
    <w:rsid w:val="529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2</Pages>
  <Words>132</Words>
  <Characters>729</Characters>
  <Lines>6</Lines>
  <Paragraphs>1</Paragraphs>
  <TotalTime>152</TotalTime>
  <ScaleCrop>false</ScaleCrop>
  <LinksUpToDate>false</LinksUpToDate>
  <CharactersWithSpaces>860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TOSHIBA</cp:lastModifiedBy>
  <cp:lastPrinted>2017-10-04T21:01:00Z</cp:lastPrinted>
  <dcterms:modified xsi:type="dcterms:W3CDTF">2024-05-16T23:27:59Z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CB12883F046D4D83B8D3753A79D8EAAA_12</vt:lpwstr>
  </property>
</Properties>
</file>